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ay" w:cs="Play" w:eastAsia="Play" w:hAnsi="Play"/>
          <w:b w:val="1"/>
          <w:sz w:val="28"/>
          <w:szCs w:val="28"/>
        </w:rPr>
      </w:pPr>
      <w:r w:rsidDel="00000000" w:rsidR="00000000" w:rsidRPr="00000000">
        <w:rPr>
          <w:rFonts w:ascii="Play" w:cs="Play" w:eastAsia="Play" w:hAnsi="Play"/>
          <w:b w:val="1"/>
          <w:sz w:val="28"/>
          <w:szCs w:val="28"/>
          <w:rtl w:val="0"/>
        </w:rPr>
        <w:t xml:space="preserve">What to Flee and When to Fight</w:t>
      </w:r>
    </w:p>
    <w:p w:rsidR="00000000" w:rsidDel="00000000" w:rsidP="00000000" w:rsidRDefault="00000000" w:rsidRPr="00000000" w14:paraId="00000002">
      <w:pPr>
        <w:jc w:val="center"/>
        <w:rPr>
          <w:sz w:val="22"/>
          <w:szCs w:val="22"/>
        </w:rPr>
      </w:pPr>
      <w:r w:rsidDel="00000000" w:rsidR="00000000" w:rsidRPr="00000000">
        <w:rPr>
          <w:rFonts w:ascii="Calibri" w:cs="Calibri" w:eastAsia="Calibri" w:hAnsi="Calibri"/>
          <w:sz w:val="22"/>
          <w:szCs w:val="22"/>
          <w:rtl w:val="0"/>
        </w:rPr>
        <w:t xml:space="preserve">1 Timothy 6:11–16 </w:t>
      </w:r>
      <w:r w:rsidDel="00000000" w:rsidR="00000000" w:rsidRPr="00000000">
        <w:rPr>
          <w:sz w:val="22"/>
          <w:szCs w:val="22"/>
          <w:rtl w:val="0"/>
        </w:rPr>
        <w:t xml:space="preserve">|| May 5</w:t>
      </w:r>
      <w:r w:rsidDel="00000000" w:rsidR="00000000" w:rsidRPr="00000000">
        <w:rPr>
          <w:sz w:val="22"/>
          <w:szCs w:val="22"/>
          <w:vertAlign w:val="superscript"/>
          <w:rtl w:val="0"/>
        </w:rPr>
        <w:t xml:space="preserve">th</w:t>
      </w:r>
      <w:r w:rsidDel="00000000" w:rsidR="00000000" w:rsidRPr="00000000">
        <w:rPr>
          <w:sz w:val="22"/>
          <w:szCs w:val="22"/>
          <w:rtl w:val="0"/>
        </w:rPr>
        <w:t xml:space="preserve">–11</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p w:rsidR="00000000" w:rsidDel="00000000" w:rsidP="00000000" w:rsidRDefault="00000000" w:rsidRPr="00000000" w14:paraId="00000003">
      <w:pPr>
        <w:keepNext w:val="1"/>
        <w:rPr>
          <w:b w:val="1"/>
          <w:color w:val="ff0000"/>
        </w:rPr>
      </w:pPr>
      <w:r w:rsidDel="00000000" w:rsidR="00000000" w:rsidRPr="00000000">
        <w:rPr>
          <w:rtl w:val="0"/>
        </w:rPr>
      </w:r>
    </w:p>
    <w:p w:rsidR="00000000" w:rsidDel="00000000" w:rsidP="00000000" w:rsidRDefault="00000000" w:rsidRPr="00000000" w14:paraId="00000004">
      <w:pPr>
        <w:spacing w:before="120" w:lineRule="auto"/>
        <w:rPr>
          <w:sz w:val="22"/>
          <w:szCs w:val="22"/>
        </w:rPr>
      </w:pPr>
      <w:r w:rsidDel="00000000" w:rsidR="00000000" w:rsidRPr="00000000">
        <w:rPr>
          <w:b w:val="1"/>
          <w:smallCaps w:val="1"/>
          <w:sz w:val="22"/>
          <w:szCs w:val="22"/>
          <w:rtl w:val="0"/>
        </w:rPr>
        <w:t xml:space="preserve">ANNOUNCEMENTS:</w:t>
      </w:r>
      <w:r w:rsidDel="00000000" w:rsidR="00000000" w:rsidRPr="00000000">
        <w:rPr>
          <w:rtl w:val="0"/>
        </w:rPr>
      </w:r>
    </w:p>
    <w:p w:rsidR="00000000" w:rsidDel="00000000" w:rsidP="00000000" w:rsidRDefault="00000000" w:rsidRPr="00000000" w14:paraId="00000005">
      <w:pPr>
        <w:numPr>
          <w:ilvl w:val="0"/>
          <w:numId w:val="1"/>
        </w:numPr>
        <w:spacing w:after="0" w:afterAutospacing="0" w:before="240" w:lineRule="auto"/>
        <w:ind w:left="720" w:hanging="360"/>
        <w:rPr>
          <w:rFonts w:ascii="Arial" w:cs="Arial" w:eastAsia="Arial" w:hAnsi="Arial"/>
          <w:sz w:val="22"/>
          <w:szCs w:val="22"/>
        </w:rPr>
      </w:pPr>
      <w:r w:rsidDel="00000000" w:rsidR="00000000" w:rsidRPr="00000000">
        <w:rPr>
          <w:sz w:val="22"/>
          <w:szCs w:val="22"/>
          <w:rtl w:val="0"/>
        </w:rPr>
        <w:t xml:space="preserve">First Aid, AED, CPR Training Class: May 11 or May 25, from 9am–1pm</w:t>
      </w:r>
    </w:p>
    <w:p w:rsidR="00000000" w:rsidDel="00000000" w:rsidP="00000000" w:rsidRDefault="00000000" w:rsidRPr="00000000" w14:paraId="00000006">
      <w:pPr>
        <w:numPr>
          <w:ilvl w:val="0"/>
          <w:numId w:val="1"/>
        </w:numPr>
        <w:spacing w:after="0" w:afterAutospacing="0" w:before="0" w:beforeAutospacing="0" w:lineRule="auto"/>
        <w:ind w:left="720" w:hanging="360"/>
        <w:rPr>
          <w:rFonts w:ascii="Arial" w:cs="Arial" w:eastAsia="Arial" w:hAnsi="Arial"/>
          <w:sz w:val="22"/>
          <w:szCs w:val="22"/>
        </w:rPr>
      </w:pPr>
      <w:r w:rsidDel="00000000" w:rsidR="00000000" w:rsidRPr="00000000">
        <w:rPr>
          <w:sz w:val="22"/>
          <w:szCs w:val="22"/>
          <w:rtl w:val="0"/>
        </w:rPr>
        <w:t xml:space="preserve">Foundations Class: 4-week series on May 19, 26, June 2 &amp; 9 at 11am</w:t>
      </w:r>
    </w:p>
    <w:p w:rsidR="00000000" w:rsidDel="00000000" w:rsidP="00000000" w:rsidRDefault="00000000" w:rsidRPr="00000000" w14:paraId="00000007">
      <w:pPr>
        <w:numPr>
          <w:ilvl w:val="0"/>
          <w:numId w:val="1"/>
        </w:numPr>
        <w:spacing w:after="240" w:before="0" w:beforeAutospacing="0" w:lineRule="auto"/>
        <w:ind w:left="720" w:hanging="360"/>
        <w:rPr>
          <w:rFonts w:ascii="Arial" w:cs="Arial" w:eastAsia="Arial" w:hAnsi="Arial"/>
          <w:sz w:val="22"/>
          <w:szCs w:val="22"/>
        </w:rPr>
      </w:pPr>
      <w:r w:rsidDel="00000000" w:rsidR="00000000" w:rsidRPr="00000000">
        <w:rPr>
          <w:sz w:val="22"/>
          <w:szCs w:val="22"/>
          <w:rtl w:val="0"/>
        </w:rPr>
        <w:t xml:space="preserve">Discipleship for men: May 19th–June 30th, 7:30–8:50am in Mod 2E</w:t>
      </w:r>
    </w:p>
    <w:p w:rsidR="00000000" w:rsidDel="00000000" w:rsidP="00000000" w:rsidRDefault="00000000" w:rsidRPr="00000000" w14:paraId="00000008">
      <w:pPr>
        <w:spacing w:after="240" w:before="240" w:lineRule="auto"/>
        <w:rPr>
          <w:sz w:val="22"/>
          <w:szCs w:val="22"/>
        </w:rPr>
      </w:pPr>
      <w:r w:rsidDel="00000000" w:rsidR="00000000" w:rsidRPr="00000000">
        <w:rPr>
          <w:b w:val="1"/>
          <w:sz w:val="22"/>
          <w:szCs w:val="22"/>
          <w:rtl w:val="0"/>
        </w:rPr>
        <w:t xml:space="preserve">SAVE THE DATE:</w:t>
      </w:r>
      <w:r w:rsidDel="00000000" w:rsidR="00000000" w:rsidRPr="00000000">
        <w:rPr>
          <w:sz w:val="22"/>
          <w:szCs w:val="22"/>
          <w:rtl w:val="0"/>
        </w:rPr>
        <w:t xml:space="preserve"> August 23–24: Parenting conference w/Brent and Janet Aucoin.</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keepNext w:val="1"/>
        <w:spacing w:after="120" w:line="360" w:lineRule="auto"/>
        <w:rPr>
          <w:sz w:val="22"/>
          <w:szCs w:val="22"/>
        </w:rPr>
      </w:pPr>
      <w:r w:rsidDel="00000000" w:rsidR="00000000" w:rsidRPr="00000000">
        <w:rPr>
          <w:b w:val="1"/>
          <w:sz w:val="22"/>
          <w:szCs w:val="22"/>
          <w:rtl w:val="0"/>
        </w:rPr>
        <w:t xml:space="preserve">ICEBREAKER:</w:t>
      </w:r>
      <w:r w:rsidDel="00000000" w:rsidR="00000000" w:rsidRPr="00000000">
        <w:rPr>
          <w:sz w:val="22"/>
          <w:szCs w:val="22"/>
          <w:rtl w:val="0"/>
        </w:rPr>
        <w:t xml:space="preserve">  Share a time in your life when you spent too much time/resources pursuing something foolish or not worth your time. What happened and how did you realize it? </w:t>
      </w:r>
    </w:p>
    <w:p w:rsidR="00000000" w:rsidDel="00000000" w:rsidP="00000000" w:rsidRDefault="00000000" w:rsidRPr="00000000" w14:paraId="0000000B">
      <w:pPr>
        <w:pStyle w:val="Heading2"/>
        <w:spacing w:after="0" w:lineRule="auto"/>
        <w:rPr>
          <w:rFonts w:ascii="Aptos" w:cs="Aptos" w:eastAsia="Aptos" w:hAnsi="Aptos"/>
          <w:b w:val="1"/>
          <w:smallCaps w:val="1"/>
          <w:color w:val="000000"/>
          <w:sz w:val="22"/>
          <w:szCs w:val="22"/>
        </w:rPr>
      </w:pPr>
      <w:r w:rsidDel="00000000" w:rsidR="00000000" w:rsidRPr="00000000">
        <w:rPr>
          <w:rFonts w:ascii="Aptos" w:cs="Aptos" w:eastAsia="Aptos" w:hAnsi="Aptos"/>
          <w:b w:val="1"/>
          <w:smallCaps w:val="1"/>
          <w:color w:val="000000"/>
          <w:sz w:val="22"/>
          <w:szCs w:val="22"/>
          <w:rtl w:val="0"/>
        </w:rPr>
        <w:t xml:space="preserve">QUESTIONS FOR DISCUSSION:</w:t>
      </w:r>
    </w:p>
    <w:p w:rsidR="00000000" w:rsidDel="00000000" w:rsidP="00000000" w:rsidRDefault="00000000" w:rsidRPr="00000000" w14:paraId="0000000C">
      <w:pPr>
        <w:rPr>
          <w:b w:val="1"/>
          <w:sz w:val="22"/>
          <w:szCs w:val="22"/>
        </w:rPr>
      </w:pPr>
      <w:r w:rsidDel="00000000" w:rsidR="00000000" w:rsidRPr="00000000">
        <w:rPr>
          <w:rtl w:val="0"/>
        </w:rPr>
      </w:r>
    </w:p>
    <w:p w:rsidR="00000000" w:rsidDel="00000000" w:rsidP="00000000" w:rsidRDefault="00000000" w:rsidRPr="00000000" w14:paraId="0000000D">
      <w:pPr>
        <w:numPr>
          <w:ilvl w:val="0"/>
          <w:numId w:val="2"/>
        </w:numPr>
        <w:spacing w:after="120" w:line="276" w:lineRule="auto"/>
        <w:ind w:left="360" w:hanging="360"/>
        <w:rPr>
          <w:sz w:val="22"/>
          <w:szCs w:val="22"/>
          <w:highlight w:val="white"/>
        </w:rPr>
      </w:pPr>
      <w:r w:rsidDel="00000000" w:rsidR="00000000" w:rsidRPr="00000000">
        <w:rPr>
          <w:sz w:val="22"/>
          <w:szCs w:val="22"/>
          <w:highlight w:val="white"/>
          <w:rtl w:val="0"/>
        </w:rPr>
        <w:t xml:space="preserve">Read 1 Tim 6:11–16. Verse 11 starts by telling us what to flee. Summarize what Paul tells Timothy to flee when he says, “flee from these things” (NASB). </w:t>
      </w:r>
    </w:p>
    <w:p w:rsidR="00000000" w:rsidDel="00000000" w:rsidP="00000000" w:rsidRDefault="00000000" w:rsidRPr="00000000" w14:paraId="0000000E">
      <w:pPr>
        <w:numPr>
          <w:ilvl w:val="0"/>
          <w:numId w:val="2"/>
        </w:numPr>
        <w:spacing w:after="120" w:line="276" w:lineRule="auto"/>
        <w:ind w:left="360" w:hanging="360"/>
        <w:rPr>
          <w:sz w:val="22"/>
          <w:szCs w:val="22"/>
          <w:highlight w:val="white"/>
        </w:rPr>
      </w:pPr>
      <w:r w:rsidDel="00000000" w:rsidR="00000000" w:rsidRPr="00000000">
        <w:rPr>
          <w:sz w:val="22"/>
          <w:szCs w:val="22"/>
          <w:highlight w:val="white"/>
          <w:rtl w:val="0"/>
        </w:rPr>
        <w:t xml:space="preserve">When Timothy heard the phrase “Man of God,” he most likely thought of the other people in Scripture given that title like: “Moses, Deut. 33:1; David, Neh. 12:24; Elijah, 1 Kings 17:18; and Elisha, 2 Kings 4:7. How does remembering God’s faithfulness in the past give us strength to stand in faith today? </w:t>
      </w:r>
    </w:p>
    <w:p w:rsidR="00000000" w:rsidDel="00000000" w:rsidP="00000000" w:rsidRDefault="00000000" w:rsidRPr="00000000" w14:paraId="0000000F">
      <w:pPr>
        <w:numPr>
          <w:ilvl w:val="0"/>
          <w:numId w:val="2"/>
        </w:numPr>
        <w:spacing w:after="120" w:line="276" w:lineRule="auto"/>
        <w:ind w:left="360" w:hanging="360"/>
        <w:rPr>
          <w:sz w:val="22"/>
          <w:szCs w:val="22"/>
          <w:highlight w:val="white"/>
        </w:rPr>
      </w:pPr>
      <w:r w:rsidDel="00000000" w:rsidR="00000000" w:rsidRPr="00000000">
        <w:rPr>
          <w:sz w:val="22"/>
          <w:szCs w:val="22"/>
          <w:highlight w:val="white"/>
          <w:rtl w:val="0"/>
        </w:rPr>
        <w:t xml:space="preserve">Consistent with the rest of the Bible, God does not tell us only what we should flee, but also tells us what we should pursue. Out of the 6 attributes mentioned in verse 11b, which stuck out to you as something you need to pursue more? </w:t>
      </w:r>
    </w:p>
    <w:p w:rsidR="00000000" w:rsidDel="00000000" w:rsidP="00000000" w:rsidRDefault="00000000" w:rsidRPr="00000000" w14:paraId="00000010">
      <w:pPr>
        <w:numPr>
          <w:ilvl w:val="0"/>
          <w:numId w:val="2"/>
        </w:numPr>
        <w:spacing w:after="120" w:line="276" w:lineRule="auto"/>
        <w:ind w:left="360" w:hanging="360"/>
        <w:rPr>
          <w:sz w:val="22"/>
          <w:szCs w:val="22"/>
          <w:highlight w:val="white"/>
        </w:rPr>
      </w:pPr>
      <w:r w:rsidDel="00000000" w:rsidR="00000000" w:rsidRPr="00000000">
        <w:rPr>
          <w:sz w:val="22"/>
          <w:szCs w:val="22"/>
          <w:highlight w:val="white"/>
          <w:rtl w:val="0"/>
        </w:rPr>
        <w:t xml:space="preserve">Verse 12 starts by saying, “</w:t>
      </w:r>
      <w:r w:rsidDel="00000000" w:rsidR="00000000" w:rsidRPr="00000000">
        <w:rPr>
          <w:i w:val="1"/>
          <w:sz w:val="22"/>
          <w:szCs w:val="22"/>
          <w:highlight w:val="white"/>
          <w:rtl w:val="0"/>
        </w:rPr>
        <w:t xml:space="preserve">Fight the good fight of faith</w:t>
      </w:r>
      <w:r w:rsidDel="00000000" w:rsidR="00000000" w:rsidRPr="00000000">
        <w:rPr>
          <w:sz w:val="22"/>
          <w:szCs w:val="22"/>
          <w:highlight w:val="white"/>
          <w:rtl w:val="0"/>
        </w:rPr>
        <w:t xml:space="preserve">.” What immediately comes to mind for you as a fight in your faith?</w:t>
      </w:r>
    </w:p>
    <w:p w:rsidR="00000000" w:rsidDel="00000000" w:rsidP="00000000" w:rsidRDefault="00000000" w:rsidRPr="00000000" w14:paraId="00000011">
      <w:pPr>
        <w:numPr>
          <w:ilvl w:val="0"/>
          <w:numId w:val="2"/>
        </w:numPr>
        <w:spacing w:after="120" w:line="276" w:lineRule="auto"/>
        <w:ind w:left="360" w:hanging="360"/>
        <w:rPr>
          <w:sz w:val="22"/>
          <w:szCs w:val="22"/>
          <w:highlight w:val="white"/>
        </w:rPr>
      </w:pPr>
      <w:r w:rsidDel="00000000" w:rsidR="00000000" w:rsidRPr="00000000">
        <w:rPr>
          <w:sz w:val="22"/>
          <w:szCs w:val="22"/>
          <w:highlight w:val="white"/>
          <w:rtl w:val="0"/>
        </w:rPr>
        <w:t xml:space="preserve">The “</w:t>
      </w:r>
      <w:r w:rsidDel="00000000" w:rsidR="00000000" w:rsidRPr="00000000">
        <w:rPr>
          <w:i w:val="1"/>
          <w:sz w:val="22"/>
          <w:szCs w:val="22"/>
          <w:highlight w:val="white"/>
          <w:rtl w:val="0"/>
        </w:rPr>
        <w:t xml:space="preserve">good confession in the presence of many witnesses</w:t>
      </w:r>
      <w:r w:rsidDel="00000000" w:rsidR="00000000" w:rsidRPr="00000000">
        <w:rPr>
          <w:sz w:val="22"/>
          <w:szCs w:val="22"/>
          <w:highlight w:val="white"/>
          <w:rtl w:val="0"/>
        </w:rPr>
        <w:t xml:space="preserve"> (ESV, v12)” is probably a reference to Timothy’s confession of faith and subsequent public baptism. Paul then gives an example of Christ’s confession before Pilate. What are some current ways that you need to confidently represent Christ in public? Or what are some ways you see Christians needing to stand confidently in the public square for Christ? </w:t>
      </w:r>
    </w:p>
    <w:p w:rsidR="00000000" w:rsidDel="00000000" w:rsidP="00000000" w:rsidRDefault="00000000" w:rsidRPr="00000000" w14:paraId="00000012">
      <w:pPr>
        <w:numPr>
          <w:ilvl w:val="0"/>
          <w:numId w:val="2"/>
        </w:numPr>
        <w:spacing w:after="120" w:line="276" w:lineRule="auto"/>
        <w:ind w:left="360" w:hanging="360"/>
        <w:rPr>
          <w:sz w:val="22"/>
          <w:szCs w:val="22"/>
          <w:highlight w:val="white"/>
        </w:rPr>
      </w:pPr>
      <w:r w:rsidDel="00000000" w:rsidR="00000000" w:rsidRPr="00000000">
        <w:rPr>
          <w:sz w:val="22"/>
          <w:szCs w:val="22"/>
          <w:highlight w:val="white"/>
          <w:rtl w:val="0"/>
        </w:rPr>
        <w:t xml:space="preserve">Baptism and a public confession are also usually done in the presence of the church. We need to assemble (Heb 10:25) and we need each other to “fight the good fight” in community. Share some stories about how the family of God has helped you “flee sin” and “pursue righteousness.”</w:t>
      </w:r>
    </w:p>
    <w:p w:rsidR="00000000" w:rsidDel="00000000" w:rsidP="00000000" w:rsidRDefault="00000000" w:rsidRPr="00000000" w14:paraId="00000013">
      <w:pPr>
        <w:numPr>
          <w:ilvl w:val="0"/>
          <w:numId w:val="2"/>
        </w:numPr>
        <w:spacing w:after="120" w:line="276" w:lineRule="auto"/>
        <w:ind w:left="360" w:hanging="360"/>
        <w:rPr>
          <w:sz w:val="22"/>
          <w:szCs w:val="22"/>
          <w:highlight w:val="white"/>
        </w:rPr>
      </w:pPr>
      <w:r w:rsidDel="00000000" w:rsidR="00000000" w:rsidRPr="00000000">
        <w:rPr>
          <w:sz w:val="22"/>
          <w:szCs w:val="22"/>
          <w:highlight w:val="white"/>
          <w:rtl w:val="0"/>
        </w:rPr>
        <w:t xml:space="preserve">Paul starts to conclude this letter by mentioning “eternal life” and assuring that Christ will return. This is one of the most important truths for Christians to rest in today. How does Christ’s return and the assurance of eternal life give you encouragement in your life right now? </w:t>
      </w:r>
    </w:p>
    <w:p w:rsidR="00000000" w:rsidDel="00000000" w:rsidP="00000000" w:rsidRDefault="00000000" w:rsidRPr="00000000" w14:paraId="00000014">
      <w:pPr>
        <w:numPr>
          <w:ilvl w:val="0"/>
          <w:numId w:val="2"/>
        </w:numPr>
        <w:spacing w:after="120" w:line="276" w:lineRule="auto"/>
        <w:ind w:left="360" w:hanging="360"/>
        <w:rPr>
          <w:sz w:val="22"/>
          <w:szCs w:val="22"/>
          <w:highlight w:val="white"/>
        </w:rPr>
      </w:pPr>
      <w:r w:rsidDel="00000000" w:rsidR="00000000" w:rsidRPr="00000000">
        <w:rPr>
          <w:sz w:val="22"/>
          <w:szCs w:val="22"/>
          <w:highlight w:val="white"/>
          <w:rtl w:val="0"/>
        </w:rPr>
        <w:t xml:space="preserve">Paul concludes with a doxology of praise! Read verses 15–16 out loud as a group and end your time by singing “</w:t>
      </w:r>
      <w:r w:rsidDel="00000000" w:rsidR="00000000" w:rsidRPr="00000000">
        <w:rPr>
          <w:i w:val="1"/>
          <w:sz w:val="22"/>
          <w:szCs w:val="22"/>
          <w:highlight w:val="white"/>
          <w:rtl w:val="0"/>
        </w:rPr>
        <w:t xml:space="preserve">The Doxology.</w:t>
      </w:r>
      <w:r w:rsidDel="00000000" w:rsidR="00000000" w:rsidRPr="00000000">
        <w:rPr>
          <w:sz w:val="22"/>
          <w:szCs w:val="22"/>
          <w:highlight w:val="white"/>
          <w:rtl w:val="0"/>
        </w:rPr>
        <w:t xml:space="preserve">” </w:t>
        <w:br w:type="textWrapping"/>
        <w:t xml:space="preserve">“</w:t>
      </w:r>
      <w:r w:rsidDel="00000000" w:rsidR="00000000" w:rsidRPr="00000000">
        <w:rPr>
          <w:i w:val="1"/>
          <w:sz w:val="22"/>
          <w:szCs w:val="22"/>
          <w:highlight w:val="white"/>
          <w:rtl w:val="0"/>
        </w:rPr>
        <w:t xml:space="preserve">Praise God from whom all blessings flow. Praise Him all creatures here below. Praise Him above ye heavenly hosts. Praise Father, Son, and Holy Ghost. Amen” </w:t>
      </w:r>
    </w:p>
    <w:p w:rsidR="00000000" w:rsidDel="00000000" w:rsidP="00000000" w:rsidRDefault="00000000" w:rsidRPr="00000000" w14:paraId="00000015">
      <w:pPr>
        <w:spacing w:after="120" w:line="360" w:lineRule="auto"/>
        <w:rPr>
          <w:b w:val="1"/>
        </w:rPr>
      </w:pPr>
      <w:r w:rsidDel="00000000" w:rsidR="00000000" w:rsidRPr="00000000">
        <w:rPr>
          <w:rtl w:val="0"/>
        </w:rPr>
      </w:r>
    </w:p>
    <w:p w:rsidR="00000000" w:rsidDel="00000000" w:rsidP="00000000" w:rsidRDefault="00000000" w:rsidRPr="00000000" w14:paraId="00000016">
      <w:pPr>
        <w:spacing w:after="120" w:line="360" w:lineRule="auto"/>
        <w:rPr>
          <w:b w:val="1"/>
        </w:rPr>
      </w:pPr>
      <w:r w:rsidDel="00000000" w:rsidR="00000000" w:rsidRPr="00000000">
        <w:rPr>
          <w:b w:val="1"/>
          <w:rtl w:val="0"/>
        </w:rPr>
        <w:t xml:space="preserve">Men and Women Small Groups: </w:t>
      </w:r>
    </w:p>
    <w:p w:rsidR="00000000" w:rsidDel="00000000" w:rsidP="00000000" w:rsidRDefault="00000000" w:rsidRPr="00000000" w14:paraId="00000017">
      <w:pPr>
        <w:spacing w:after="120" w:line="276" w:lineRule="auto"/>
        <w:rPr>
          <w:sz w:val="22"/>
          <w:szCs w:val="22"/>
          <w:highlight w:val="white"/>
        </w:rPr>
      </w:pPr>
      <w:r w:rsidDel="00000000" w:rsidR="00000000" w:rsidRPr="00000000">
        <w:rPr>
          <w:b w:val="1"/>
          <w:sz w:val="22"/>
          <w:szCs w:val="22"/>
          <w:rtl w:val="0"/>
        </w:rPr>
        <w:t xml:space="preserve">Prayer:  </w:t>
      </w:r>
      <w:r w:rsidDel="00000000" w:rsidR="00000000" w:rsidRPr="00000000">
        <w:rPr>
          <w:sz w:val="22"/>
          <w:szCs w:val="22"/>
          <w:rtl w:val="0"/>
        </w:rPr>
        <w:t xml:space="preserve">Pray that we would “fight the good fight” in public and private.</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18">
      <w:pPr>
        <w:widowControl w:val="0"/>
        <w:spacing w:after="120" w:line="276" w:lineRule="auto"/>
        <w:rPr>
          <w:color w:val="ff0000"/>
        </w:rPr>
      </w:pPr>
      <w:r w:rsidDel="00000000" w:rsidR="00000000" w:rsidRPr="00000000">
        <w:rPr>
          <w:b w:val="1"/>
          <w:sz w:val="22"/>
          <w:szCs w:val="22"/>
          <w:rtl w:val="0"/>
        </w:rPr>
        <w:t xml:space="preserve">Personal Practical Application:</w:t>
      </w:r>
      <w:r w:rsidDel="00000000" w:rsidR="00000000" w:rsidRPr="00000000">
        <w:rPr>
          <w:sz w:val="22"/>
          <w:szCs w:val="22"/>
          <w:highlight w:val="white"/>
          <w:rtl w:val="0"/>
        </w:rPr>
        <w:t xml:space="preserve"> Separated in groups of men and women, share sinful areas in your life that you need to “flee” and what specific practices in your life will help you “pursue righteousness.”</w:t>
      </w:r>
      <w:r w:rsidDel="00000000" w:rsidR="00000000" w:rsidRPr="00000000">
        <w:rPr>
          <w:rtl w:val="0"/>
        </w:rPr>
      </w:r>
    </w:p>
    <w:sectPr>
      <w:headerReference r:id="rId6" w:type="default"/>
      <w:footerReference r:id="rId7" w:type="default"/>
      <w:pgSz w:h="12240" w:w="15840" w:orient="landscape"/>
      <w:pgMar w:bottom="480" w:top="720" w:left="720" w:right="720" w:header="240" w:footer="720"/>
      <w:pgNumType w:start="1"/>
      <w:cols w:equalWidth="0" w:num="2">
        <w:col w:space="960" w:w="6720"/>
        <w:col w:space="0" w:w="67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Aptos"/>
  <w:font w:name="Play">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